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B95FC0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B95FC0" w:rsidRDefault="00BC1B87">
            <w:pPr>
              <w:spacing w:after="0" w:line="240" w:lineRule="auto"/>
            </w:pPr>
            <w:r>
              <w:rPr>
                <w:b/>
              </w:rPr>
              <w:t xml:space="preserve"> </w:t>
            </w:r>
            <w:bookmarkStart w:id="0" w:name="_GoBack"/>
            <w:bookmarkEnd w:id="0"/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:rsidR="00B95FC0" w:rsidRDefault="00BC1B87">
            <w:pPr>
              <w:spacing w:after="0" w:line="240" w:lineRule="auto"/>
            </w:pPr>
            <w:r>
              <w:t>36661</w:t>
            </w:r>
          </w:p>
        </w:tc>
      </w:tr>
      <w:tr w:rsidR="00B95FC0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B95FC0" w:rsidRDefault="00BC1B87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:rsidR="00B95FC0" w:rsidRDefault="00BC1B87">
            <w:pPr>
              <w:spacing w:after="0" w:line="240" w:lineRule="auto"/>
            </w:pPr>
            <w:r>
              <w:t>CENTAR ZA KULTURU ČAKOVEC</w:t>
            </w:r>
          </w:p>
        </w:tc>
      </w:tr>
      <w:tr w:rsidR="00B95FC0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B95FC0" w:rsidRDefault="00BC1B87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:rsidR="00B95FC0" w:rsidRDefault="00BC1B87">
            <w:pPr>
              <w:spacing w:after="0" w:line="240" w:lineRule="auto"/>
            </w:pPr>
            <w:r>
              <w:t>21</w:t>
            </w:r>
          </w:p>
        </w:tc>
      </w:tr>
    </w:tbl>
    <w:p w:rsidR="00B95FC0" w:rsidRDefault="00BC1B87">
      <w:r>
        <w:br/>
      </w:r>
    </w:p>
    <w:p w:rsidR="00B95FC0" w:rsidRDefault="00BC1B87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:rsidR="00B95FC0" w:rsidRDefault="00BC1B87">
      <w:pPr>
        <w:spacing w:line="240" w:lineRule="auto"/>
        <w:jc w:val="center"/>
      </w:pPr>
      <w:r>
        <w:rPr>
          <w:b/>
          <w:sz w:val="28"/>
        </w:rPr>
        <w:t>ZA RAZDOBLJE</w:t>
      </w:r>
    </w:p>
    <w:p w:rsidR="00B95FC0" w:rsidRDefault="00BC1B87">
      <w:pPr>
        <w:spacing w:line="240" w:lineRule="auto"/>
        <w:jc w:val="center"/>
      </w:pPr>
      <w:r>
        <w:rPr>
          <w:b/>
          <w:sz w:val="28"/>
        </w:rPr>
        <w:t>I - VI 2026.</w:t>
      </w:r>
    </w:p>
    <w:p w:rsidR="00B95FC0" w:rsidRDefault="00B95FC0"/>
    <w:p w:rsidR="00B95FC0" w:rsidRDefault="00BC1B87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:rsidR="00B95FC0" w:rsidRDefault="00BC1B87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B95F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95FC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650.332,73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958.769,41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147,4</w:t>
            </w:r>
          </w:p>
        </w:tc>
      </w:tr>
      <w:tr w:rsidR="00B95FC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604.688,80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673.838,75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111,4</w:t>
            </w:r>
          </w:p>
        </w:tc>
      </w:tr>
      <w:tr w:rsidR="00B95FC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95FC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45.643,93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284.930,66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624,2</w:t>
            </w:r>
          </w:p>
        </w:tc>
      </w:tr>
      <w:tr w:rsidR="00B95FC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B95FC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584.159,25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4.396,79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0,8</w:t>
            </w:r>
          </w:p>
        </w:tc>
      </w:tr>
      <w:tr w:rsidR="00B95FC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95FC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584.159,25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4.396,79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0,8</w:t>
            </w:r>
          </w:p>
        </w:tc>
      </w:tr>
      <w:tr w:rsidR="00B95FC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B95FC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B95FC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95FC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B95FC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95FC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280.533,87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:rsidR="00B95FC0" w:rsidRDefault="00B95FC0">
      <w:pPr>
        <w:spacing w:after="0"/>
      </w:pPr>
    </w:p>
    <w:p w:rsidR="00B95FC0" w:rsidRDefault="00BC1B87">
      <w:r>
        <w:t>U izvještajnom razdoblju Centar je ostvario iznimno stabilne i uspješne poslovne rezultate, ponajviše zahvaljujući bogatoj programskoj sezoni i izvrsnom odazivu publike, što je generiralo prihode poslovanja od 958.769,41 eura. Nakon pokrića svih redovnih o</w:t>
      </w:r>
      <w:r>
        <w:t xml:space="preserve">perativnih troškova i rashoda za zaposlene, koji su iznosili 673.838,75 eura, ostvaren je značajan višak u tekućem poslovanju od 284.930,66 eura. Navedeni višak pokrio je i kapitalna ulaganja za </w:t>
      </w:r>
      <w:r>
        <w:lastRenderedPageBreak/>
        <w:t>nabavu nove dugotrajne imovine i softverskih licenci u iznosu</w:t>
      </w:r>
      <w:r>
        <w:t xml:space="preserve"> od 4.396,79 eura, što je u konačnici rezultiralo viškom prihoda i primitaka od 280.533,87 eura. </w:t>
      </w:r>
    </w:p>
    <w:p w:rsidR="00B95FC0" w:rsidRDefault="00BC1B87">
      <w:r>
        <w:t>Uzimajući u obzir preneseni manjak iz prethodne godine u iznosu od 309.031,84 eura te ostvareni ukupan višak poslovanja u tekućem razdoblju od 280.533,87 eura</w:t>
      </w:r>
      <w:r>
        <w:t xml:space="preserve">  trenutni manjak iznosi 28.497,97 eura. U mjesecu lipnju izvršena je redovna isplata plaća za zaposlenike, dok su pripadajuća proračunska sredstva na </w:t>
      </w:r>
      <w:proofErr w:type="spellStart"/>
      <w:r>
        <w:t>podračun</w:t>
      </w:r>
      <w:proofErr w:type="spellEnd"/>
      <w:r>
        <w:t xml:space="preserve"> Centra zaprimljena početkom srpnja. Tekući manjak je stoga privremenog karaktera te će se u potp</w:t>
      </w:r>
      <w:r>
        <w:t>unosti uravnotežiti u idućem izvještajnom razdoblju.</w:t>
      </w:r>
    </w:p>
    <w:p w:rsidR="00B95FC0" w:rsidRDefault="00BC1B87">
      <w:r>
        <w:br/>
      </w:r>
    </w:p>
    <w:p w:rsidR="00B95FC0" w:rsidRDefault="00BC1B87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B95F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95FC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od inozemnih vlada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23.217,93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B95FC0" w:rsidRDefault="00B95FC0">
      <w:pPr>
        <w:spacing w:after="0"/>
      </w:pPr>
    </w:p>
    <w:p w:rsidR="00B95FC0" w:rsidRDefault="00BC1B87">
      <w:r>
        <w:t xml:space="preserve">Na kontu 6311 (Tekuće pomoći od inozemnih vlada) ostvaren je prihod u iznosu od 23.217,93 eura koji se odnosi na sredstva Europa </w:t>
      </w:r>
      <w:proofErr w:type="spellStart"/>
      <w:r>
        <w:t>Cinemas</w:t>
      </w:r>
      <w:proofErr w:type="spellEnd"/>
      <w:r>
        <w:t xml:space="preserve"> za redovnu filmsku djelatnost kao i sredstva od Connect </w:t>
      </w:r>
      <w:proofErr w:type="spellStart"/>
      <w:r>
        <w:t>Up</w:t>
      </w:r>
      <w:proofErr w:type="spellEnd"/>
      <w:r>
        <w:t xml:space="preserve"> projekta KD Pinklec i </w:t>
      </w:r>
      <w:proofErr w:type="spellStart"/>
      <w:r>
        <w:t>Erasmus</w:t>
      </w:r>
      <w:proofErr w:type="spellEnd"/>
      <w:r>
        <w:t xml:space="preserve"> projekata. U stupcu ostvarenja</w:t>
      </w:r>
      <w:r>
        <w:t xml:space="preserve"> za prethodnu godinu iskazan je iznos od 0,00 eura, što je isključivo tehničke prirode. Navedena sredstva su se u prethodnoj godini evidentirala na kontu 6323, dok se od ove godine knjiže na novom kontu 6311.</w:t>
      </w:r>
    </w:p>
    <w:p w:rsidR="00B95FC0" w:rsidRDefault="00B95FC0"/>
    <w:p w:rsidR="00B95FC0" w:rsidRDefault="00BC1B87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B95F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</w:t>
            </w:r>
            <w:r>
              <w:rPr>
                <w:b/>
                <w:sz w:val="18"/>
              </w:rPr>
              <w:t>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95FC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proračunskim korisnicima iz proračuna koji im nije nadležan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36.180,00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53.591,20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148,1</w:t>
            </w:r>
          </w:p>
        </w:tc>
      </w:tr>
    </w:tbl>
    <w:p w:rsidR="00B95FC0" w:rsidRDefault="00B95FC0">
      <w:pPr>
        <w:spacing w:after="0"/>
      </w:pPr>
    </w:p>
    <w:p w:rsidR="00B95FC0" w:rsidRDefault="00BC1B87">
      <w:r>
        <w:t>Na kontu 6361 (Tekuće pomoći proračunskim korisnicima iz proračuna koji im nije nadležan) ostvaren je prihod u iznosu od 53.591,20 eura, što predstavlja porast od 48,1% u odnosu na isto razdoblje prethodne godine. Navedeno povećanje rezultat je uspješnih p</w:t>
      </w:r>
      <w:r>
        <w:t>rijava programa Centra za kulturu na javne pozive i natječaje Ministarstva kulture i medija i HAVC-a kao podrška za provedbu programskih aktivnosti koje su u skladu s strategijom razvoja kulture.  </w:t>
      </w:r>
    </w:p>
    <w:p w:rsidR="00B95FC0" w:rsidRDefault="00B95FC0"/>
    <w:p w:rsidR="00B95FC0" w:rsidRDefault="00BC1B87">
      <w:pPr>
        <w:keepNext/>
        <w:spacing w:line="240" w:lineRule="auto"/>
        <w:jc w:val="center"/>
      </w:pPr>
      <w:r>
        <w:rPr>
          <w:sz w:val="28"/>
        </w:rPr>
        <w:lastRenderedPageBreak/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B95F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</w:t>
            </w:r>
            <w:r>
              <w:rPr>
                <w:b/>
                <w:sz w:val="18"/>
              </w:rPr>
              <w:t>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95FC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Pomoći temeljem prijenosa EU sredstava (šifre 6381+6382)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86.108,09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252.880,47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293,7</w:t>
            </w:r>
          </w:p>
        </w:tc>
      </w:tr>
    </w:tbl>
    <w:p w:rsidR="00B95FC0" w:rsidRDefault="00B95FC0">
      <w:pPr>
        <w:spacing w:after="0"/>
      </w:pPr>
    </w:p>
    <w:p w:rsidR="00B95FC0" w:rsidRDefault="00BC1B87">
      <w:r>
        <w:t>Na skupini 638 (Pomoći temeljem prijenosa EU sredstava) ukupno je ostvaren prihod u iznosu od 252.880,47 eura, što predstavlja značajan porast u odnosu na prethodnu godinu od 193,70%. Navedena sredstva odnose se na projekt energetske obnove zgrade Centra z</w:t>
      </w:r>
      <w:r>
        <w:t>a kulturu, prijavljenog putem Mehanizma za oporavak i otpornost (NPOO). S obzirom na to da je sam projekt završio u prethodnoj godini, u tekućem razdoblju ostvareni su priljevi sredstava temeljem odobrenih i predanih Zahtjeva za nadoknadom sredstava.</w:t>
      </w:r>
    </w:p>
    <w:p w:rsidR="00B95FC0" w:rsidRDefault="00BC1B87">
      <w:r>
        <w:t>·    </w:t>
      </w:r>
      <w:r>
        <w:t xml:space="preserve">     Na kontu 6381 (Tekuće pomoći temeljem prijenosa EU sredstava) ostvaren je iznos od 6.928,00 eura, a odnosi se na prihode koji pokrivaju operativne aktivnosti u sklopu projekta, poput stručnog nadzora, izrade projektne dokumentacije, administracije i o</w:t>
      </w:r>
      <w:r>
        <w:t>stalih popratnih troškova neinvencijskog karaktera. </w:t>
      </w:r>
    </w:p>
    <w:p w:rsidR="00B95FC0" w:rsidRDefault="00BC1B87">
      <w:r>
        <w:t>·         Na kontu 6382 (Kapitalne pomoći temeljem prijenosa EU sredstava) ostvaren je značajan priljev u iznosu od 245.952,47 eura. Ovaj porast rezultat je dinamike odobravanja ZNS-ova koji se odnose na</w:t>
      </w:r>
      <w:r>
        <w:t xml:space="preserve"> izravno financiranje građevinskih i infrastrukturnih radova. Sredstva su dodijeljena za projekt energetske obnove Centra, sufinanciran iz fondova Europske unije putem državnog proračuna, u okviru nacionalnog plana oporavka i otpornosti za unapređenje ener</w:t>
      </w:r>
      <w:r>
        <w:t>getske učinkovitosti zgrada sa statusom kulturnog dobra.</w:t>
      </w:r>
    </w:p>
    <w:p w:rsidR="00B95FC0" w:rsidRDefault="00B95FC0"/>
    <w:p w:rsidR="00B95FC0" w:rsidRDefault="00BC1B87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B95F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95FC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6391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Tekući prijenosi između </w:t>
            </w:r>
            <w:r>
              <w:rPr>
                <w:sz w:val="18"/>
              </w:rPr>
              <w:t>proračunskih korisnika istog proračuna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6391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10.000,00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19.500,00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195,0</w:t>
            </w:r>
          </w:p>
        </w:tc>
      </w:tr>
    </w:tbl>
    <w:p w:rsidR="00B95FC0" w:rsidRDefault="00B95FC0">
      <w:pPr>
        <w:spacing w:after="0"/>
      </w:pPr>
    </w:p>
    <w:p w:rsidR="00B95FC0" w:rsidRDefault="00BC1B87">
      <w:r>
        <w:t>Na kontu 6391 (Tekući prijenosi između proračunskih korisnika istog proračuna) ostvaren je prihod od 19.500,00 eura, što u odnosu na prethodnu godinu predstavlja porast od 95%. Navedena sredstva primljena su od nadležnog proračuna temeljem prijava programa</w:t>
      </w:r>
      <w:r>
        <w:t xml:space="preserve"> na javne pozive Grada i namijenjena su za provedbu programskih aktivnosti Centra u području kulture. Iskazano povećanje u odnosu na prošlu godinu primarno je tehničke prirode, zbog novog načina knjiženje sredstva s obzirom na Riznicu. </w:t>
      </w:r>
    </w:p>
    <w:p w:rsidR="00B95FC0" w:rsidRDefault="00B95FC0"/>
    <w:p w:rsidR="00B95FC0" w:rsidRDefault="00BC1B87">
      <w:pPr>
        <w:keepNext/>
        <w:spacing w:line="240" w:lineRule="auto"/>
        <w:jc w:val="center"/>
      </w:pPr>
      <w:r>
        <w:rPr>
          <w:sz w:val="28"/>
        </w:rPr>
        <w:lastRenderedPageBreak/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B95F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</w:t>
            </w:r>
            <w:r>
              <w:rPr>
                <w:b/>
                <w:sz w:val="18"/>
              </w:rPr>
              <w:t xml:space="preserve">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95FC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Prihodi od upravnih i administrativnih pristojbi, pristojbi po posebnim propisima i naknada (šifre </w:t>
            </w:r>
            <w:r>
              <w:rPr>
                <w:sz w:val="18"/>
              </w:rPr>
              <w:t>651+652+653+654)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93.196,13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138.961,00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149,1</w:t>
            </w:r>
          </w:p>
        </w:tc>
      </w:tr>
    </w:tbl>
    <w:p w:rsidR="00B95FC0" w:rsidRDefault="00B95FC0">
      <w:pPr>
        <w:spacing w:after="0"/>
      </w:pPr>
    </w:p>
    <w:p w:rsidR="00B95FC0" w:rsidRDefault="00BC1B87">
      <w:r>
        <w:t>Na kontu 6526 (Ostali nespomenuti prihodi) ostvaren je prihod od 138.961,00 eura, što predstavlja značajan porast od 49,1% u odnosu na isto razdoblje prethodne godine kada je ostvareno 93.196,13 eura. Navedeni prihodi odnose se na prodaju ulaznica za sve p</w:t>
      </w:r>
      <w:r>
        <w:t>rograme i manifestacije u organizaciji Centra za kulturu. Povećanje je rezultat iznimno uspješne i posjećene proljetne sezone, a nastavak ostvarenja vlastitih prihoda očekuje se i tijekom jesenske sezone.</w:t>
      </w:r>
    </w:p>
    <w:p w:rsidR="00B95FC0" w:rsidRDefault="00B95FC0"/>
    <w:p w:rsidR="00B95FC0" w:rsidRDefault="00BC1B87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B95F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95FC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prihodi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93.196,13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138.961,00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149,1</w:t>
            </w:r>
          </w:p>
        </w:tc>
      </w:tr>
    </w:tbl>
    <w:p w:rsidR="00B95FC0" w:rsidRDefault="00B95FC0">
      <w:pPr>
        <w:spacing w:after="0"/>
      </w:pPr>
    </w:p>
    <w:p w:rsidR="00B95FC0" w:rsidRDefault="00BC1B87">
      <w:r>
        <w:t>Na kontu 6526 (Ostali nespomenuti prihodi) ostvaren je prihod od 138.961,00 eura, što predstavlja značajan porast od 49,1% u odnosu na isto razdoblje prethodne godine kada je ostvareno 93.196,13 eura. Navedeni prihodi odnose se na prodaju ulaznica za sve p</w:t>
      </w:r>
      <w:r>
        <w:t>rograme i manifestacije u organizaciji Centra za kulturu. Povećanje je rezultat iznimno uspješne i posjećene proljetne sezone, a nastavak ostvarenja vlastitih prihoda očekuje se i tijekom jesenske sezone.</w:t>
      </w:r>
    </w:p>
    <w:p w:rsidR="00B95FC0" w:rsidRDefault="00B95FC0"/>
    <w:p w:rsidR="00B95FC0" w:rsidRDefault="00BC1B87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B95F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95FC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pruženih usluga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26.026,30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32.728,30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125,8</w:t>
            </w:r>
          </w:p>
        </w:tc>
      </w:tr>
    </w:tbl>
    <w:p w:rsidR="00B95FC0" w:rsidRDefault="00B95FC0">
      <w:pPr>
        <w:spacing w:after="0"/>
      </w:pPr>
    </w:p>
    <w:p w:rsidR="00B95FC0" w:rsidRDefault="00BC1B87">
      <w:r>
        <w:t xml:space="preserve">Na kontu 6615 (Prihodi od pruženih usluga) ostvaren je prihod od 32.728,30 eura, što predstavlja porast od 25,8% u odnosu na prethodnu godinu kada je ostvareno 26.026,30 eura. Ovaj pozitivan trend i rast vlastitih prihoda rezultat su interesa za pohađanje </w:t>
      </w:r>
      <w:r>
        <w:t>dramskog studija "DADA", kao i povećane potražnje za najmom prostora i opreme Centra te zakupom poslovnog prostora. Također, na rast prihoda utjecala je i opravdana korekcija cijena usluga najma i opreme, koja je provedena radi usklađivanja s trenutnim trž</w:t>
      </w:r>
      <w:r>
        <w:t>išnim kretanjima.</w:t>
      </w:r>
    </w:p>
    <w:p w:rsidR="00B95FC0" w:rsidRDefault="00B95FC0"/>
    <w:p w:rsidR="00B95FC0" w:rsidRDefault="00BC1B87">
      <w:pPr>
        <w:keepNext/>
        <w:spacing w:line="240" w:lineRule="auto"/>
        <w:jc w:val="center"/>
      </w:pPr>
      <w:r>
        <w:rPr>
          <w:sz w:val="28"/>
        </w:rPr>
        <w:lastRenderedPageBreak/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B95F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95FC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za financiranje rashoda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383.175,71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435.690,01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113,7</w:t>
            </w:r>
          </w:p>
        </w:tc>
      </w:tr>
    </w:tbl>
    <w:p w:rsidR="00B95FC0" w:rsidRDefault="00B95FC0">
      <w:pPr>
        <w:spacing w:after="0"/>
      </w:pPr>
    </w:p>
    <w:p w:rsidR="00B95FC0" w:rsidRDefault="00BC1B87">
      <w:r>
        <w:t>Na kontu 6711 (Prihodi iz nadležnog proračuna za financiranje rashoda poslovanja) ostvaren je prihod od 435.690,01 eura, što u odnosu na prethodnu godinu predstavlja porast od 13,7%. Navedena sredstva osiguravaju se prema financijskom planu za redovnu djel</w:t>
      </w:r>
      <w:r>
        <w:t>atnost Centra (plaće zaposlenika, materijalne i programske troškove). Povećanje prihoda u tekućem razdoblju najvećim se dijelom objašnjava rastom rashoda za zaposlene uslijed povećanja osnovice i koeficijenata za izračun plaće. Ostatak porasta odnosi se na</w:t>
      </w:r>
      <w:r>
        <w:t xml:space="preserve"> nužno usklađivanje s općim rastom tržišnih cijena programskih aktivnosti, usluga i materijalnih rashoda potrebnih za nesmetan rad ustanove.</w:t>
      </w:r>
    </w:p>
    <w:p w:rsidR="00B95FC0" w:rsidRDefault="00BC1B87">
      <w:r>
        <w:t> </w:t>
      </w:r>
    </w:p>
    <w:p w:rsidR="00B95FC0" w:rsidRDefault="00B95FC0"/>
    <w:p w:rsidR="00B95FC0" w:rsidRDefault="00BC1B87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B95F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</w:t>
            </w:r>
            <w:r>
              <w:rPr>
                <w:b/>
                <w:sz w:val="18"/>
              </w:rPr>
              <w:t xml:space="preserve">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95FC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683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prihodi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683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865,73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2.200,50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254,2</w:t>
            </w:r>
          </w:p>
        </w:tc>
      </w:tr>
    </w:tbl>
    <w:p w:rsidR="00B95FC0" w:rsidRDefault="00B95FC0">
      <w:pPr>
        <w:spacing w:after="0"/>
      </w:pPr>
    </w:p>
    <w:p w:rsidR="00B95FC0" w:rsidRDefault="00BC1B87">
      <w:r>
        <w:t>Na skupini 683 (Ostali prihodi) ostvaren je prihod u iznosu od 2.200,50 eura, što u odnosu na prethodnu godinu predstavlja porast od 154,2%. Navedeno povećanje prihoda najvećim se dijelom odnosi na Vladinu Uredbu ublažavanja cijena energenata. </w:t>
      </w:r>
    </w:p>
    <w:p w:rsidR="00B95FC0" w:rsidRDefault="00B95FC0"/>
    <w:p w:rsidR="00B95FC0" w:rsidRDefault="00BC1B87">
      <w:pPr>
        <w:keepNext/>
        <w:spacing w:line="240" w:lineRule="auto"/>
        <w:jc w:val="center"/>
      </w:pPr>
      <w:r>
        <w:rPr>
          <w:sz w:val="28"/>
        </w:rPr>
        <w:t>Bilješka 1</w:t>
      </w:r>
      <w:r>
        <w:rPr>
          <w:sz w:val="28"/>
        </w:rPr>
        <w:t>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B95F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95FC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zaposlene (šifre 311+312+313)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380.032,25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369.484,34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97,2</w:t>
            </w:r>
          </w:p>
        </w:tc>
      </w:tr>
    </w:tbl>
    <w:p w:rsidR="00B95FC0" w:rsidRDefault="00B95FC0">
      <w:pPr>
        <w:spacing w:after="0"/>
      </w:pPr>
    </w:p>
    <w:p w:rsidR="00B95FC0" w:rsidRDefault="00BC1B87">
      <w:r>
        <w:t>Na skupini 31 (Rashodi za zaposlene) zabilježeno je blago smanjenje rashoda, s ukupnim ostvarenjem od 369.484,34 eura, što predstavlja indeks od 97,2 u odnosu na isto razdoblje prethodne godine. Glavni razlog smanjenja je činjenica da je u izvještajnom raz</w:t>
      </w:r>
      <w:r>
        <w:t>doblju prethodne godine bilo zabilježeno 7 rashoda za plaću, ali i nije bilo toliko obveza za isplatu jubilarnih nagrada zaposlenicima tijekom tekuće godine. </w:t>
      </w:r>
    </w:p>
    <w:p w:rsidR="00B95FC0" w:rsidRDefault="00B95FC0"/>
    <w:p w:rsidR="00B95FC0" w:rsidRDefault="00BC1B87">
      <w:pPr>
        <w:keepNext/>
        <w:spacing w:line="240" w:lineRule="auto"/>
        <w:jc w:val="center"/>
      </w:pPr>
      <w:r>
        <w:rPr>
          <w:sz w:val="28"/>
        </w:rPr>
        <w:lastRenderedPageBreak/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B95F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razdoblju prethodne </w:t>
            </w:r>
            <w:r>
              <w:rPr>
                <w:b/>
                <w:sz w:val="18"/>
              </w:rPr>
              <w:t>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95FC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Službena putovanja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2.023,44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5.832,42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288,2</w:t>
            </w:r>
          </w:p>
        </w:tc>
      </w:tr>
    </w:tbl>
    <w:p w:rsidR="00B95FC0" w:rsidRDefault="00B95FC0">
      <w:pPr>
        <w:spacing w:after="0"/>
      </w:pPr>
    </w:p>
    <w:p w:rsidR="00B95FC0" w:rsidRDefault="00BC1B87">
      <w:r>
        <w:t>Na kontu 3211 (Službena putovanja) zabilježen je rashod od 5.832,42 eura, što predstavlja porast od 188,2% u odnosu na isto razdoblje prethodne godine kada je potrošeno 2.023,44 eura. Sredstva su najvećim dijelom utrošena na nabavu zrakoplovnih karata i pu</w:t>
      </w:r>
      <w:r>
        <w:t xml:space="preserve">tnih troškova za potrebe dramskog studija i KD Pinklec radi sudjelovanja na inozemnim susretima s polaznicima, </w:t>
      </w:r>
      <w:proofErr w:type="spellStart"/>
      <w:r>
        <w:t>Erasmus</w:t>
      </w:r>
      <w:proofErr w:type="spellEnd"/>
      <w:r>
        <w:t xml:space="preserve"> projektima te ostalim gostovanjima.</w:t>
      </w:r>
    </w:p>
    <w:p w:rsidR="00B95FC0" w:rsidRDefault="00B95FC0"/>
    <w:p w:rsidR="00B95FC0" w:rsidRDefault="00BC1B87">
      <w:pPr>
        <w:keepNext/>
        <w:spacing w:line="240" w:lineRule="auto"/>
        <w:jc w:val="center"/>
      </w:pPr>
      <w:r>
        <w:rPr>
          <w:sz w:val="28"/>
        </w:rPr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B95F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</w:t>
            </w:r>
            <w:r>
              <w:rPr>
                <w:b/>
                <w:sz w:val="18"/>
              </w:rPr>
              <w:t>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95FC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Stručno usavršavanje zaposlenika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338,70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1.636,70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483,2</w:t>
            </w:r>
          </w:p>
        </w:tc>
      </w:tr>
    </w:tbl>
    <w:p w:rsidR="00B95FC0" w:rsidRDefault="00B95FC0">
      <w:pPr>
        <w:spacing w:after="0"/>
      </w:pPr>
    </w:p>
    <w:p w:rsidR="00B95FC0" w:rsidRDefault="00BC1B87">
      <w:r>
        <w:t>Na kontu 3213 (Stručno usavršavanje zaposlenika) zabilježen je rashod od 1.636,70 eura, što predstavlja porast u odnosu na prethodnu godinu za 383,2%. Navedeno povećanje izravna je posljedica povećane potrebe za stručnim osposobljavanjem radnika u izvješta</w:t>
      </w:r>
      <w:r>
        <w:t>jnom razdoblju. Sredstva su utrošena na pohađanje seminara, stručnih edukacija te obuka kandidata za rukovanje centralnim grijanjem i zaštite na radu, a sve u svrhu osiguravanja sigurnih i propisanih uvjeta rada u ustanovi.</w:t>
      </w:r>
    </w:p>
    <w:p w:rsidR="00B95FC0" w:rsidRDefault="00B95FC0"/>
    <w:p w:rsidR="00B95FC0" w:rsidRDefault="00BC1B87">
      <w:pPr>
        <w:keepNext/>
        <w:spacing w:line="240" w:lineRule="auto"/>
        <w:jc w:val="center"/>
      </w:pPr>
      <w:r>
        <w:rPr>
          <w:sz w:val="28"/>
        </w:rPr>
        <w:t>Bilješka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B95F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</w:t>
            </w:r>
            <w:r>
              <w:rPr>
                <w:b/>
                <w:sz w:val="18"/>
              </w:rPr>
              <w:t>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95FC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Energija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16.584,40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19.944,06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120,3</w:t>
            </w:r>
          </w:p>
        </w:tc>
      </w:tr>
    </w:tbl>
    <w:p w:rsidR="00B95FC0" w:rsidRDefault="00B95FC0">
      <w:pPr>
        <w:spacing w:after="0"/>
      </w:pPr>
    </w:p>
    <w:p w:rsidR="00B95FC0" w:rsidRDefault="00BC1B87">
      <w:r>
        <w:t>Na kontu 3223 (Energija) zabilježen je rashod od 19.944,06 eura, što u odnosu na prethodnu godinu (16.584,40 eura) predstavlja porast od 20,3%. Navedeno povećanje izravna je posljedica općeg rasta tržišnih cijena energenata, prvenstveno električne energije</w:t>
      </w:r>
      <w:r>
        <w:t>, plina te goriva potrebnih za redovno funkcioniranje objekta i obavljanje djelatnosti Centra.</w:t>
      </w:r>
    </w:p>
    <w:p w:rsidR="00B95FC0" w:rsidRDefault="00B95FC0"/>
    <w:p w:rsidR="00B95FC0" w:rsidRDefault="00BC1B87">
      <w:pPr>
        <w:keepNext/>
        <w:spacing w:line="240" w:lineRule="auto"/>
        <w:jc w:val="center"/>
      </w:pPr>
      <w:r>
        <w:rPr>
          <w:sz w:val="28"/>
        </w:rPr>
        <w:lastRenderedPageBreak/>
        <w:t>Bilješka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B95F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</w:t>
            </w:r>
            <w:r>
              <w:rPr>
                <w:b/>
                <w:sz w:val="18"/>
              </w:rPr>
              <w:t>%)</w:t>
            </w:r>
          </w:p>
        </w:tc>
      </w:tr>
      <w:tr w:rsidR="00B95FC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Materijal i dijelovi za tekuće i investicijsko održavanje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296,35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767,10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258,8</w:t>
            </w:r>
          </w:p>
        </w:tc>
      </w:tr>
    </w:tbl>
    <w:p w:rsidR="00B95FC0" w:rsidRDefault="00B95FC0">
      <w:pPr>
        <w:spacing w:after="0"/>
      </w:pPr>
    </w:p>
    <w:p w:rsidR="00B95FC0" w:rsidRDefault="00BC1B87">
      <w:r>
        <w:t>Na kontu 3224 (Materijal i dijelovi za tekuće i investicijsko održavanje) ostvaren je rashod u iznosu od 767,10 eura, što u odnosu na prethodnu godinu (296,35 eura) predstavlja porast od 158,8% . Navedeno odstupanje rezultat je izvanredne potrebe za nabavo</w:t>
      </w:r>
      <w:r>
        <w:t>m potrošnog materijala i dijelova radi održavanja funkcionalnosti i sigurnosti objekta, što prvenstveno uključuje kupnju novih žarulja te specijaliziranog materijala za održavanje sustava vatrodojave.</w:t>
      </w:r>
    </w:p>
    <w:p w:rsidR="00B95FC0" w:rsidRDefault="00B95FC0"/>
    <w:p w:rsidR="00B95FC0" w:rsidRDefault="00BC1B87">
      <w:pPr>
        <w:keepNext/>
        <w:spacing w:line="240" w:lineRule="auto"/>
        <w:jc w:val="center"/>
      </w:pPr>
      <w:r>
        <w:rPr>
          <w:sz w:val="28"/>
        </w:rPr>
        <w:t>Bilješka 16.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B95F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</w:t>
            </w:r>
            <w:r>
              <w:rPr>
                <w:b/>
                <w:sz w:val="18"/>
              </w:rPr>
              <w:t>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95FC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tekućeg i investicijskog održavanja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3.342,10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5.223,78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156,3</w:t>
            </w:r>
          </w:p>
        </w:tc>
      </w:tr>
    </w:tbl>
    <w:p w:rsidR="00B95FC0" w:rsidRDefault="00B95FC0">
      <w:pPr>
        <w:spacing w:after="0"/>
      </w:pPr>
    </w:p>
    <w:p w:rsidR="00B95FC0" w:rsidRDefault="00BC1B87">
      <w:r>
        <w:t>Na kontu 3232 (Usluge tekućeg i investicijskog održavanja) zabilježen je rashod od 5.223,78 eura, što u odnosu na prethodnu godinu (3.342,10 eura) predstavlja porast od 56,3%. Navedeno povećanje troškova uključuje obvezan polugodišnji pregled i servis meha</w:t>
      </w:r>
      <w:r>
        <w:t>nizacije, redovni servis dvaju službenih vozila, ugovorenu uslugu dojave požara te vodoinstalaterske radove na sanaciji instalacija u objektu Centra.</w:t>
      </w:r>
    </w:p>
    <w:p w:rsidR="00B95FC0" w:rsidRDefault="00BC1B87">
      <w:r>
        <w:t> </w:t>
      </w:r>
    </w:p>
    <w:p w:rsidR="00B95FC0" w:rsidRDefault="00B95FC0"/>
    <w:p w:rsidR="00B95FC0" w:rsidRDefault="00BC1B87">
      <w:pPr>
        <w:keepNext/>
        <w:spacing w:line="240" w:lineRule="auto"/>
        <w:jc w:val="center"/>
      </w:pPr>
      <w:r>
        <w:rPr>
          <w:sz w:val="28"/>
        </w:rPr>
        <w:t>Bilješka 17.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B95F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95FC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Zakupnine i najamnine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10.667,69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25.526,01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239,3</w:t>
            </w:r>
          </w:p>
        </w:tc>
      </w:tr>
    </w:tbl>
    <w:p w:rsidR="00B95FC0" w:rsidRDefault="00B95FC0">
      <w:pPr>
        <w:spacing w:after="0"/>
      </w:pPr>
    </w:p>
    <w:p w:rsidR="00B95FC0" w:rsidRDefault="00BC1B87">
      <w:r>
        <w:t>Na kontu 3235 (Zakupnine i najamnine) zabilježen je rashod u iznosu od 25.526,01 euro, što predstavlja porast od 139,3% u odnosu na isto razdoblje prethodne godine. Rashodi su porasli zbog tržišnih promjena u cijenama najma filmskih naslova, ali primarno z</w:t>
      </w:r>
      <w:r>
        <w:t>bog iznimno dobre gledanosti i posjećenosti kino programa, s posebnim naglaskom na uspjeh domaćeg filma. S obzirom na to da se najamnina filmova distributerima obračunava i isplaćuje u postotku prema broju prodanih ulaznica i predanim izvještajima o posjeć</w:t>
      </w:r>
      <w:r>
        <w:t>enosti, uspješna sezona generirala je i veće troškove na ovoj poziciji.</w:t>
      </w:r>
    </w:p>
    <w:p w:rsidR="00B95FC0" w:rsidRDefault="00B95FC0"/>
    <w:p w:rsidR="00B95FC0" w:rsidRDefault="00BC1B87">
      <w:pPr>
        <w:keepNext/>
        <w:spacing w:line="240" w:lineRule="auto"/>
        <w:jc w:val="center"/>
      </w:pPr>
      <w:r>
        <w:rPr>
          <w:sz w:val="28"/>
        </w:rPr>
        <w:t>Bilješka 18.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B95F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95FC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Računalne </w:t>
            </w:r>
            <w:r>
              <w:rPr>
                <w:sz w:val="18"/>
              </w:rPr>
              <w:t>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7.967,54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16.326,43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204,9</w:t>
            </w:r>
          </w:p>
        </w:tc>
      </w:tr>
    </w:tbl>
    <w:p w:rsidR="00B95FC0" w:rsidRDefault="00B95FC0">
      <w:pPr>
        <w:spacing w:after="0"/>
      </w:pPr>
    </w:p>
    <w:p w:rsidR="00B95FC0" w:rsidRDefault="00BC1B87">
      <w:r>
        <w:t>Na kontu 3238 (Računalne usluge) zabilježen je rashod od 16.326,43 eura, što predstavlja porast od 104,9% u odnosu na isto razdoblje prethodne godine. Navedeno značajno povećanje troškova izravna je posljedica tehničke prilagodbe poslovanja i prelaska Cent</w:t>
      </w:r>
      <w:r>
        <w:t>ra na sustav riznice Grada Čakovca. Navedeni proces zahtijevao je nužno ažuriranje i opremanje postojećeg softvera novim značajkama, što je uvećalo mjesečne troškove održavanja. </w:t>
      </w:r>
    </w:p>
    <w:p w:rsidR="00B95FC0" w:rsidRDefault="00B95FC0"/>
    <w:p w:rsidR="00B95FC0" w:rsidRDefault="00BC1B87">
      <w:pPr>
        <w:keepNext/>
        <w:spacing w:line="240" w:lineRule="auto"/>
        <w:jc w:val="center"/>
      </w:pPr>
      <w:r>
        <w:rPr>
          <w:sz w:val="28"/>
        </w:rPr>
        <w:t>Bilješka 19.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B95F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</w:t>
            </w:r>
            <w:r>
              <w:rPr>
                <w:b/>
                <w:sz w:val="18"/>
              </w:rPr>
              <w:t>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95FC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troškova osobama izvan radnog odnosa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1.207,00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2.609,98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216,2</w:t>
            </w:r>
          </w:p>
        </w:tc>
      </w:tr>
    </w:tbl>
    <w:p w:rsidR="00B95FC0" w:rsidRDefault="00B95FC0">
      <w:pPr>
        <w:spacing w:after="0"/>
      </w:pPr>
    </w:p>
    <w:p w:rsidR="00B95FC0" w:rsidRDefault="00BC1B87">
      <w:r>
        <w:t>Na skupini 324 (Naknade troškova osobama izvan radnog odnosa) ostvaren je rashod u iznosu od 2.609,98 eura, što u odnosu na prethodnu godinu (1.207,00 eura) predstavlja porast od 116,2%. Navedeno povećanje izravno je povezano s intenzivnijom programskom dj</w:t>
      </w:r>
      <w:r>
        <w:t>elatnošću Centra u izvještajnom razdoblju. Sredstva su utrošena na pokrivanje putnih troškova te troškova noćenja za vanjske suradnike i gostujuće umjetnike.</w:t>
      </w:r>
    </w:p>
    <w:p w:rsidR="00B95FC0" w:rsidRDefault="00B95FC0"/>
    <w:p w:rsidR="00B95FC0" w:rsidRDefault="00BC1B87">
      <w:pPr>
        <w:keepNext/>
        <w:spacing w:line="240" w:lineRule="auto"/>
        <w:jc w:val="center"/>
      </w:pPr>
      <w:r>
        <w:rPr>
          <w:sz w:val="28"/>
        </w:rPr>
        <w:t>Bilješka 20.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B95F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</w:t>
            </w:r>
            <w:r>
              <w:rPr>
                <w:b/>
                <w:sz w:val="18"/>
              </w:rPr>
              <w:t>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95FC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za rad predstavničkih i izvršnih tijela, povjerenstava i slično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807,56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2.272,84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281,4</w:t>
            </w:r>
          </w:p>
        </w:tc>
      </w:tr>
    </w:tbl>
    <w:p w:rsidR="00B95FC0" w:rsidRDefault="00B95FC0">
      <w:pPr>
        <w:spacing w:after="0"/>
      </w:pPr>
    </w:p>
    <w:p w:rsidR="00B95FC0" w:rsidRDefault="00BC1B87">
      <w:r>
        <w:t>Na kontu 3291 (Naknade za rad predstavničkih i izvršnih tijela, povjerenstava i slično) ostvaren je rashod u iznosu od 2.272,84 eura, što predstavlja porast od 181,4% u odnosu na prethodnu godinu kada je utrošeno 807,56 eura. Navedeno odstupanje i rast tro</w:t>
      </w:r>
      <w:r>
        <w:t>škova izravna su posljedica veće učestalosti održavanja sjednica Upravnog vijeća Centra u izvještajnom razdoblju tekuće godine, a koje su bile nužne radi donošenja odluka i pravnu prilagodbu poslovanja ustanove.</w:t>
      </w:r>
    </w:p>
    <w:p w:rsidR="00B95FC0" w:rsidRDefault="00B95FC0"/>
    <w:p w:rsidR="00B95FC0" w:rsidRDefault="00BC1B87">
      <w:pPr>
        <w:keepNext/>
        <w:spacing w:line="240" w:lineRule="auto"/>
        <w:jc w:val="center"/>
      </w:pPr>
      <w:r>
        <w:rPr>
          <w:sz w:val="28"/>
        </w:rPr>
        <w:lastRenderedPageBreak/>
        <w:t>Bilješka 21.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B95F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</w:t>
            </w:r>
            <w:r>
              <w:rPr>
                <w:b/>
                <w:sz w:val="18"/>
              </w:rPr>
              <w:t>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95FC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financijski rashodi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1.013,92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2.184,95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215,5</w:t>
            </w:r>
          </w:p>
        </w:tc>
      </w:tr>
    </w:tbl>
    <w:p w:rsidR="00B95FC0" w:rsidRDefault="00B95FC0">
      <w:pPr>
        <w:spacing w:after="0"/>
      </w:pPr>
    </w:p>
    <w:p w:rsidR="00B95FC0" w:rsidRDefault="00BC1B87">
      <w:r>
        <w:t>Na kontu 3434 (Ostali nespomenuti financijski rashodi) zabilježen je rashod od 2.184,95 eura, što u odnosu na prethodnu godinu (1.013,92 eura) predstavlja povećanje od 115,5%. Navedeni rast financijskih rashoda izravna je posljedica primjene kartičnog posl</w:t>
      </w:r>
      <w:r>
        <w:t xml:space="preserve">ovanja i promjena u navikama posjetitelja. Sve je veća potražnja za bezgotovinskom (kartičnom) i </w:t>
      </w:r>
      <w:proofErr w:type="spellStart"/>
      <w:r>
        <w:t>online</w:t>
      </w:r>
      <w:proofErr w:type="spellEnd"/>
      <w:r>
        <w:t xml:space="preserve"> kupovinom ulaznica za programe Centra. Slijedom veće količine realiziranih transakcija, automatski su porasli i troškovi pripadajućih bankarskih naknada</w:t>
      </w:r>
      <w:r>
        <w:t xml:space="preserve"> za navedena plaćanje.</w:t>
      </w:r>
    </w:p>
    <w:p w:rsidR="00B95FC0" w:rsidRDefault="00BC1B87">
      <w:r>
        <w:t> </w:t>
      </w:r>
    </w:p>
    <w:p w:rsidR="00B95FC0" w:rsidRDefault="00B95FC0"/>
    <w:p w:rsidR="00B95FC0" w:rsidRDefault="00BC1B87">
      <w:pPr>
        <w:keepNext/>
        <w:spacing w:line="240" w:lineRule="auto"/>
        <w:jc w:val="center"/>
      </w:pPr>
      <w:r>
        <w:rPr>
          <w:sz w:val="28"/>
        </w:rPr>
        <w:t>Bilješka 22.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B95F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95FC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Uređaji, strojevi i oprema za ostale namjene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1.770,40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B95FC0" w:rsidRDefault="00B95FC0">
      <w:pPr>
        <w:spacing w:after="0"/>
      </w:pPr>
    </w:p>
    <w:p w:rsidR="00B95FC0" w:rsidRDefault="00BC1B87">
      <w:r>
        <w:t>Na kontu 4227 (Uređaji, strojevi i oprema za ostale namjene) zabilježen je rashod u iznosu od 1.770,40 eura, dok u istom razdoblju prethodne godine na ovoj poziciji nije bilo realizacije. Navedeni kapitalni rashod odnosi se na plansku nabavu profesionalnog</w:t>
      </w:r>
      <w:r>
        <w:t xml:space="preserve"> fotoaparata i pripadajuće opreme. Kupnja je bila nužna radi kvalitetnog fotografiranja, dokumentiranja i snimanja događanja i programa u organizaciji Centra, a sve u svrhu podizanja kvalitete marketinga, vidljivosti ustanove i promocije sadržaja prema jav</w:t>
      </w:r>
      <w:r>
        <w:t>nosti.</w:t>
      </w:r>
    </w:p>
    <w:p w:rsidR="00B95FC0" w:rsidRDefault="00B95FC0"/>
    <w:p w:rsidR="00B95FC0" w:rsidRDefault="00BC1B87">
      <w:pPr>
        <w:keepNext/>
        <w:spacing w:line="240" w:lineRule="auto"/>
        <w:jc w:val="center"/>
      </w:pPr>
      <w:r>
        <w:rPr>
          <w:sz w:val="28"/>
        </w:rPr>
        <w:t>Bilješka 23.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B95F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95FC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4262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Ulaganja u računalne programe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4262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2.062,50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B95FC0" w:rsidRDefault="00B95FC0">
      <w:pPr>
        <w:spacing w:after="0"/>
      </w:pPr>
    </w:p>
    <w:p w:rsidR="00B95FC0" w:rsidRDefault="00BC1B87">
      <w:r>
        <w:t>Na kontu 4262 (Ulaganja u računalne programe) zabilježen je rashod u iznosu od 2.062,50 eura, dok u prethodnoj godini na ovoj poziciji nije bilo realizacije. Navedeni kapitalni trošak odnosi se na nabavu novih softverskih rješenja što je izravna posljedica</w:t>
      </w:r>
      <w:r>
        <w:t xml:space="preserve"> tehničkog usklađivanja poslovanja nakon prelaska na riznicu Grada Čakovca. Sredstva su utrošena za </w:t>
      </w:r>
      <w:r>
        <w:lastRenderedPageBreak/>
        <w:t>kupnju novih računalnih programa nužnih za obračun dohodaka te za vođenje i obračun putnih naloga.  </w:t>
      </w:r>
    </w:p>
    <w:p w:rsidR="00B95FC0" w:rsidRDefault="00B95FC0"/>
    <w:p w:rsidR="00B95FC0" w:rsidRDefault="00BC1B87">
      <w:pPr>
        <w:keepNext/>
        <w:spacing w:line="240" w:lineRule="auto"/>
        <w:jc w:val="center"/>
      </w:pPr>
      <w:r>
        <w:rPr>
          <w:sz w:val="28"/>
        </w:rPr>
        <w:t>Bilješka 24.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B95F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</w:t>
            </w:r>
            <w:r>
              <w:rPr>
                <w:b/>
                <w:sz w:val="18"/>
              </w:rPr>
              <w:t>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95FC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451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Dodatna ulaganja na građevinskim objektima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451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578.996,00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:rsidR="00B95FC0" w:rsidRDefault="00B95FC0">
      <w:pPr>
        <w:spacing w:after="0"/>
      </w:pPr>
    </w:p>
    <w:p w:rsidR="00B95FC0" w:rsidRDefault="00BC1B87">
      <w:r>
        <w:t>Na skupini 451 (Dodatna ulaganja na građevinskim objektima) u izvještajnom razdoblju tekuće godine zabilježeno je ostvarenje od 0,00 eura, dok je u istom razdoblju prethodne godine rashod iznosio 578.996,00 eura. Navedeno je posljedica završetka i realizac</w:t>
      </w:r>
      <w:r>
        <w:t>ije opsežnog projekta energetske obnove zgrade Centra, koji je u potpunosti dovršen krajem 2025. godine.</w:t>
      </w:r>
    </w:p>
    <w:p w:rsidR="00B95FC0" w:rsidRDefault="00B95FC0"/>
    <w:p w:rsidR="00B95FC0" w:rsidRDefault="00BC1B87">
      <w:pPr>
        <w:keepNext/>
        <w:spacing w:line="240" w:lineRule="auto"/>
        <w:jc w:val="center"/>
      </w:pPr>
      <w:r>
        <w:rPr>
          <w:sz w:val="28"/>
        </w:rPr>
        <w:t>Bilješka 25.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B95F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razdoblju tekuće </w:t>
            </w:r>
            <w:r>
              <w:rPr>
                <w:b/>
                <w:sz w:val="18"/>
              </w:rPr>
              <w:t>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95FC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prihoda od nefinancijske imovine - preneseni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309.031,84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B95FC0" w:rsidRDefault="00B95FC0">
      <w:pPr>
        <w:spacing w:after="0"/>
      </w:pPr>
    </w:p>
    <w:p w:rsidR="00B95FC0" w:rsidRDefault="00BC1B87">
      <w:r>
        <w:t>Na kontu 92222 (Manjak prihoda od nefinancijske imovine - preneseni) iskazan je preneseni manjak u iznosu od 309.031,84 eura. Navedeni preneseni manjak rezultat je specifičnih okolnosti u poslovanju Centra tijekom prethodne proračunske godine. Tijekom prov</w:t>
      </w:r>
      <w:r>
        <w:t>edbe projekta energetske obnove objekta Centra sredstva su utrošena za pokrivanje situacija i troškova obnove, dok refundacija sredstava iz fondova nije pristigla unutar iste proračunske godine, unatoč pravovremeno predanim Zahtjevima za nadoknadom sredsta</w:t>
      </w:r>
      <w:r>
        <w:t>va, također zbog specifičnosti evidentiranja knjiženja rashoda, unutar iste proračunske godine proknjiženo je ukupno 13 rashoda za isplatu plaća, dok je s prihodovne strane evidentirano 12 mjesečnih prihoda, što je stvorilo privremeni metodološki manjak ka</w:t>
      </w:r>
      <w:r>
        <w:t>ko slijedi:</w:t>
      </w:r>
    </w:p>
    <w:p w:rsidR="00B95FC0" w:rsidRDefault="00BC1B87">
      <w:r>
        <w:t>Manjak prethodnih godina: </w:t>
      </w:r>
    </w:p>
    <w:p w:rsidR="00B95FC0" w:rsidRDefault="00BC1B87">
      <w:r>
        <w:t>18.094,98 eura</w:t>
      </w:r>
    </w:p>
    <w:p w:rsidR="00B95FC0" w:rsidRDefault="00BC1B87">
      <w:r>
        <w:t>Opći prihodi i primici 11:</w:t>
      </w:r>
    </w:p>
    <w:p w:rsidR="00B95FC0" w:rsidRDefault="00BC1B87">
      <w:r>
        <w:t>-48.768,05 eura</w:t>
      </w:r>
    </w:p>
    <w:p w:rsidR="00B95FC0" w:rsidRDefault="00BC1B87">
      <w:r>
        <w:t>Prihodi po posebnim propisima 431:</w:t>
      </w:r>
    </w:p>
    <w:p w:rsidR="00B95FC0" w:rsidRDefault="00BC1B87">
      <w:r>
        <w:t>+44.976,37 eura</w:t>
      </w:r>
    </w:p>
    <w:p w:rsidR="00B95FC0" w:rsidRDefault="00BC1B87">
      <w:r>
        <w:lastRenderedPageBreak/>
        <w:t>Ostale pomoći 531:</w:t>
      </w:r>
    </w:p>
    <w:p w:rsidR="00B95FC0" w:rsidRDefault="00BC1B87">
      <w:r>
        <w:t>+960,00 eura</w:t>
      </w:r>
    </w:p>
    <w:p w:rsidR="00B95FC0" w:rsidRDefault="00BC1B87">
      <w:r>
        <w:t>Pomoći EU 511:</w:t>
      </w:r>
    </w:p>
    <w:p w:rsidR="00B95FC0" w:rsidRDefault="00BC1B87">
      <w:r>
        <w:t>-288.105,18 eura</w:t>
      </w:r>
    </w:p>
    <w:p w:rsidR="00B95FC0" w:rsidRDefault="00BC1B87">
      <w:r>
        <w:t> </w:t>
      </w:r>
    </w:p>
    <w:p w:rsidR="00B95FC0" w:rsidRDefault="00B95FC0"/>
    <w:p w:rsidR="00B95FC0" w:rsidRDefault="00BC1B87">
      <w:pPr>
        <w:keepNext/>
        <w:spacing w:line="240" w:lineRule="auto"/>
        <w:jc w:val="center"/>
      </w:pPr>
      <w:r>
        <w:rPr>
          <w:sz w:val="28"/>
        </w:rPr>
        <w:t>Bilješka 26.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B95F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Opis </w:t>
            </w:r>
            <w:r>
              <w:rPr>
                <w:b/>
                <w:sz w:val="18"/>
              </w:rPr>
              <w:t>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95FC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95FC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UKUPAN VIŠAK PRIHODA (šifre X067-Y034)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X004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280.533,87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B95FC0" w:rsidRDefault="00B95FC0">
      <w:pPr>
        <w:spacing w:after="0"/>
      </w:pPr>
    </w:p>
    <w:p w:rsidR="00B95FC0" w:rsidRDefault="00BC1B87">
      <w:r>
        <w:t>Na stavci "Ukupan višak prihoda" (šifra X004) u izvještajnom razdoblju ostvaren je pozitivan rezultat u iznosu od 280.533,87 eura. Navedeni značajan višak izravan je financijski pokazatelj iznimno uspješne sezone i posjećenosti te intenzivnog angažmana svi</w:t>
      </w:r>
      <w:r>
        <w:t>h djelatnika Centra. Kroz ustrajan rad na osmišljavanju kvalitetnih programa, privlačenju nove publike te modernizaciji prodajnih kanala, Centar je ostvario znatno veće prihode u odnosu na rashode poslovanja, čime je stvorena snažna baza za stabilizaciju u</w:t>
      </w:r>
      <w:r>
        <w:t>kupnog financijskog rezultata i pokriće prenesenih obveza.</w:t>
      </w:r>
    </w:p>
    <w:p w:rsidR="00B95FC0" w:rsidRDefault="00B95FC0"/>
    <w:p w:rsidR="00B95FC0" w:rsidRDefault="00BC1B87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:rsidR="00B95FC0" w:rsidRDefault="00BC1B87">
      <w:pPr>
        <w:keepNext/>
        <w:spacing w:line="240" w:lineRule="auto"/>
        <w:jc w:val="center"/>
      </w:pPr>
      <w:r>
        <w:rPr>
          <w:sz w:val="28"/>
        </w:rPr>
        <w:t>Bilješka 27.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B95F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95FC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95FC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obveza 1. siječnja (=stanju obveza iz Izvještaja o obvezama na 31. prosinca prethodne godine)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328.196,78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B95FC0" w:rsidRDefault="00B95FC0">
      <w:pPr>
        <w:spacing w:after="0"/>
      </w:pPr>
    </w:p>
    <w:p w:rsidR="00B95FC0" w:rsidRDefault="00BC1B87">
      <w:r>
        <w:t xml:space="preserve">Stanje obaveza na početku izvještajnog razdoblja iznosi 328.196,78 </w:t>
      </w:r>
      <w:proofErr w:type="spellStart"/>
      <w:r>
        <w:t>eur</w:t>
      </w:r>
      <w:proofErr w:type="spellEnd"/>
      <w:r>
        <w:t>.</w:t>
      </w:r>
    </w:p>
    <w:p w:rsidR="00B95FC0" w:rsidRDefault="00BC1B87">
      <w:r>
        <w:t>Utvrđeni iznosi odnose se na:</w:t>
      </w:r>
    </w:p>
    <w:p w:rsidR="00B95FC0" w:rsidRDefault="00BC1B87">
      <w:r>
        <w:t xml:space="preserve">1. Obračunati troškovi za plaće i naknade za zaposlene (231) – 48.817,82 </w:t>
      </w:r>
      <w:proofErr w:type="spellStart"/>
      <w:r>
        <w:t>eur</w:t>
      </w:r>
      <w:proofErr w:type="spellEnd"/>
    </w:p>
    <w:p w:rsidR="00B95FC0" w:rsidRDefault="00BC1B87">
      <w:r>
        <w:t xml:space="preserve">2. Obveze za materijalne rashode (232) – 20.016,35 </w:t>
      </w:r>
      <w:proofErr w:type="spellStart"/>
      <w:r>
        <w:t>eur</w:t>
      </w:r>
      <w:proofErr w:type="spellEnd"/>
    </w:p>
    <w:p w:rsidR="00B95FC0" w:rsidRDefault="00BC1B87">
      <w:r>
        <w:t xml:space="preserve">3. Obveze za financijske rashode (234) – 22,18 </w:t>
      </w:r>
      <w:proofErr w:type="spellStart"/>
      <w:r>
        <w:t>eur</w:t>
      </w:r>
      <w:proofErr w:type="spellEnd"/>
    </w:p>
    <w:p w:rsidR="00B95FC0" w:rsidRDefault="00BC1B87">
      <w:r>
        <w:t xml:space="preserve">4. Ostale tekuće obveze (239) – 32.811,32 </w:t>
      </w:r>
      <w:proofErr w:type="spellStart"/>
      <w:r>
        <w:t>eur</w:t>
      </w:r>
      <w:proofErr w:type="spellEnd"/>
    </w:p>
    <w:p w:rsidR="00B95FC0" w:rsidRDefault="00BC1B87">
      <w:r>
        <w:t xml:space="preserve">5. Obveze za nabavu nefinancijske imovine (24) – 96.529,11 </w:t>
      </w:r>
      <w:proofErr w:type="spellStart"/>
      <w:r>
        <w:t>eur</w:t>
      </w:r>
      <w:proofErr w:type="spellEnd"/>
    </w:p>
    <w:p w:rsidR="00B95FC0" w:rsidRDefault="00BC1B87">
      <w:r>
        <w:lastRenderedPageBreak/>
        <w:t xml:space="preserve">6. Obveza proračunskih korisnika za povrat u proračun (27) – 130.000,00 </w:t>
      </w:r>
      <w:proofErr w:type="spellStart"/>
      <w:r>
        <w:t>eur</w:t>
      </w:r>
      <w:proofErr w:type="spellEnd"/>
      <w:r>
        <w:t> </w:t>
      </w:r>
    </w:p>
    <w:p w:rsidR="00B95FC0" w:rsidRDefault="00B95FC0"/>
    <w:p w:rsidR="00B95FC0" w:rsidRDefault="00BC1B87">
      <w:pPr>
        <w:keepNext/>
        <w:spacing w:line="240" w:lineRule="auto"/>
        <w:jc w:val="center"/>
      </w:pPr>
      <w:r>
        <w:rPr>
          <w:sz w:val="28"/>
        </w:rPr>
        <w:t>Bilješka 28.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B95F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</w:t>
            </w:r>
            <w:r>
              <w:rPr>
                <w:b/>
                <w:sz w:val="18"/>
              </w:rPr>
              <w:t xml:space="preserve">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95FC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95FC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obveza na kraju izvještajnog razdoblja (šifre V001+V002-V004) i (šifre V007+V009)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104.919,56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B95FC0" w:rsidRDefault="00B95FC0">
      <w:pPr>
        <w:spacing w:after="0"/>
      </w:pPr>
    </w:p>
    <w:p w:rsidR="00B95FC0" w:rsidRDefault="00BC1B87">
      <w:r>
        <w:t>Na poziciji „Stanje obveza na kraju izvještajnog razdoblja“ (šifra V006) iskazan je ukupan iznos od 104.919,56 eura. Navedene dospjele, a nepodmirene obveze krajem razdoblja nastale su u sklopu redovnog poslovanja ustanove kako slijedi:</w:t>
      </w:r>
    </w:p>
    <w:p w:rsidR="00B95FC0" w:rsidRDefault="00BC1B87">
      <w:r>
        <w:t>1. Obračunati trošk</w:t>
      </w:r>
      <w:r>
        <w:t>ovi za plaće i naknade za zaposlene (231) – 71.750,13 eura (što se prvenstveno odnosi na obračunatu plaću za lipanj čija je isplata zabilježena početkom srpnja)</w:t>
      </w:r>
    </w:p>
    <w:p w:rsidR="00B95FC0" w:rsidRDefault="00BC1B87">
      <w:r>
        <w:t>2. Obveze za materijalne rashode (232) – 29.108,67 eura (odnosi se na troškove redovnog poslova</w:t>
      </w:r>
      <w:r>
        <w:t>nja, od energije, telefonskih usluga, intelektualnih i ostalih usluga)</w:t>
      </w:r>
    </w:p>
    <w:p w:rsidR="00B95FC0" w:rsidRDefault="00BC1B87">
      <w:r>
        <w:t xml:space="preserve">3. Obveze za financijske rashode (234) – 491,30 eura (naknade za prodaju ulaznica putem kartica i </w:t>
      </w:r>
      <w:proofErr w:type="spellStart"/>
      <w:r>
        <w:t>online</w:t>
      </w:r>
      <w:proofErr w:type="spellEnd"/>
      <w:r>
        <w:t>)</w:t>
      </w:r>
    </w:p>
    <w:p w:rsidR="00B95FC0" w:rsidRDefault="00BC1B87">
      <w:r>
        <w:t>4. Ostale tekuće obveze (239) – 3.015,73 eura (najvećim djelom se odnosi na obr</w:t>
      </w:r>
      <w:r>
        <w:t>ačunati PDV za članarine i zakup poslovnog prostora)</w:t>
      </w:r>
    </w:p>
    <w:p w:rsidR="00B95FC0" w:rsidRDefault="00BC1B87">
      <w:r>
        <w:t xml:space="preserve">5. Obveza proračunskih korisnika za povrat u proračun (27) – 553,73 eura (odnosi se na bolovanje djelatnika na teret </w:t>
      </w:r>
      <w:proofErr w:type="spellStart"/>
      <w:r>
        <w:t>hzzo</w:t>
      </w:r>
      <w:proofErr w:type="spellEnd"/>
      <w:r>
        <w:t>-a.)</w:t>
      </w:r>
    </w:p>
    <w:p w:rsidR="00B95FC0" w:rsidRDefault="00B95FC0"/>
    <w:p w:rsidR="00B95FC0" w:rsidRDefault="00BC1B87">
      <w:pPr>
        <w:keepNext/>
        <w:spacing w:line="240" w:lineRule="auto"/>
        <w:jc w:val="center"/>
      </w:pPr>
      <w:r>
        <w:rPr>
          <w:sz w:val="28"/>
        </w:rPr>
        <w:t>Bilješka 29.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B95F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95FC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95FC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</w:t>
            </w:r>
            <w:r>
              <w:rPr>
                <w:sz w:val="18"/>
              </w:rPr>
              <w:t xml:space="preserve">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95FC0" w:rsidRDefault="00BC1B8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B95FC0" w:rsidRDefault="00B95FC0">
      <w:pPr>
        <w:spacing w:after="0"/>
      </w:pPr>
    </w:p>
    <w:p w:rsidR="00B95FC0" w:rsidRDefault="00BC1B87">
      <w:r>
        <w:t>Sve obveze podmirene su na dan valute te nema dospjelih, a neplaćenih obveza na dan izvještaja, stoga je podatak nula.</w:t>
      </w:r>
    </w:p>
    <w:p w:rsidR="00B95FC0" w:rsidRDefault="00B95FC0"/>
    <w:p w:rsidR="00B95FC0" w:rsidRDefault="00BC1B87">
      <w:pPr>
        <w:keepNext/>
        <w:spacing w:line="240" w:lineRule="auto"/>
        <w:jc w:val="center"/>
      </w:pPr>
      <w:r>
        <w:rPr>
          <w:sz w:val="28"/>
        </w:rPr>
        <w:t>Bilješka 30.</w:t>
      </w:r>
    </w:p>
    <w:p w:rsidR="00B95FC0" w:rsidRDefault="00BC1B87">
      <w:pPr>
        <w:spacing w:line="240" w:lineRule="auto"/>
        <w:jc w:val="both"/>
      </w:pPr>
      <w:r>
        <w:rPr>
          <w:b/>
        </w:rPr>
        <w:t>EU izvještaj</w:t>
      </w:r>
    </w:p>
    <w:p w:rsidR="00B95FC0" w:rsidRDefault="00BC1B87">
      <w:r>
        <w:t>Centar za kulturu Čakovec uspješno je sudjelovao u projektu energetske obnove zgrada sa statusom kulturnog dobra, koji se sufinancirao bespovratnim sredstvima iz Nacionalnog plana oporavka i otpornosti 2021. – 2026. prema ugovoru broj NPOO.C6.1.R1-I3.01.00</w:t>
      </w:r>
      <w:r>
        <w:t xml:space="preserve">43. Ukupna </w:t>
      </w:r>
      <w:r>
        <w:lastRenderedPageBreak/>
        <w:t xml:space="preserve">vrijednost ovog kapitalnog projekta procijenjena je na 1.263.268,31 eura, od čega prihvatljivi troškovi sufinancirani bespovratnim sredstvima iznose 1.087.355,19 eura, a sam je projekt službeno priveden kraju u listopadu 2025. godine. U tekućem </w:t>
      </w:r>
      <w:r>
        <w:t xml:space="preserve">izvještajnom razdoblju ostvareni su prihodi temeljem prijenosa EU sredstava u ukupnom iznosu od 252.880,47 eura, što predstavlja završnu refundaciju troškova po predanom Zahtjevu za nadoknadom sredstava. Unutar tog iznosa, na kontu 6381 iskazane su tekuće </w:t>
      </w:r>
      <w:r>
        <w:t>pomoći u iznosu od 6.928,00 eura koje su se odnosile na usluge nadzora i administrativne usluge, dok je na kontu 6382 ostvaren priljev kapitalnih pomoći u iznosu od 245.952,47 eura namijenjen pokriću troškova izvršenih građevinskih radova na energetskoj ob</w:t>
      </w:r>
      <w:r>
        <w:t>novi zgrade.</w:t>
      </w:r>
    </w:p>
    <w:p w:rsidR="00B95FC0" w:rsidRDefault="00B95FC0"/>
    <w:sectPr w:rsidR="00B95F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95FC0"/>
    <w:rsid w:val="00B95FC0"/>
    <w:rsid w:val="00BC1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BC1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C1B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3650</Words>
  <Characters>20809</Characters>
  <Application>Microsoft Office Word</Application>
  <DocSecurity>0</DocSecurity>
  <Lines>173</Lines>
  <Paragraphs>48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Božica</cp:lastModifiedBy>
  <cp:revision>3</cp:revision>
  <cp:lastPrinted>2026-07-14T06:25:00Z</cp:lastPrinted>
  <dcterms:created xsi:type="dcterms:W3CDTF">2026-07-14T06:24:00Z</dcterms:created>
  <dcterms:modified xsi:type="dcterms:W3CDTF">2026-07-14T06:27:00Z</dcterms:modified>
</cp:coreProperties>
</file>